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EE101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right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Fonts w:ascii="Arial" w:hAnsi="Arial" w:cs="Arial"/>
          <w:color w:val="333333"/>
          <w:sz w:val="18"/>
          <w:szCs w:val="18"/>
        </w:rPr>
        <w:t>Засгийн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газрын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  2019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43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дугаар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  <w:t xml:space="preserve">        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1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хавсралт</w:t>
      </w:r>
      <w:proofErr w:type="spellEnd"/>
    </w:p>
    <w:p w14:paraId="033ACA3E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016D6F10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Style w:val="Strong"/>
          <w:rFonts w:ascii="Arial" w:hAnsi="Arial" w:cs="Arial"/>
          <w:color w:val="333333"/>
          <w:sz w:val="18"/>
          <w:szCs w:val="18"/>
        </w:rPr>
        <w:t>МАЛ, АМЬТНЫ ШИЛЖИЛТ ХӨДӨЛГӨӨНИЙГ ЗОХИЦУУЛАХ,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ТЭЭВЭР, ТУУВРЫН ЗАМД СААТУУЛЖ, ХОРИО ЦЭЭРИЙН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>ХЯНАЛТАД АВАХ ЖУРАМ</w:t>
      </w:r>
    </w:p>
    <w:p w14:paraId="5E4A77AE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Нэг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Нийтлэг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үндэслэл</w:t>
      </w:r>
      <w:proofErr w:type="spellEnd"/>
    </w:p>
    <w:p w14:paraId="69DE27E4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Монгол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үзэсгэлэн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худалдаа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нийтийг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хамарсан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уралдаан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оролцуулах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арилжаа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бэлэглэл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үржлийн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зориулалтаар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оршин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суугаа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газраасаа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суурьших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зохицуулахад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баримтална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0AAD5330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Хоёр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нүүдлийн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   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хөдөлгөөнийг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зохицуулах</w:t>
      </w:r>
      <w:proofErr w:type="spellEnd"/>
    </w:p>
    <w:p w14:paraId="365D077E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харьяалах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нийслэл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дүүргийн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захиргааны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цаашид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“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шилжүүлэгч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”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хүсэлтийг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харьяа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)-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шийдвэрлэнэ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29F54950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2.1-д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гаргахдаа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ирэхээр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төлөвлөж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шимэгчтэх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тархвар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судалгаа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урьдчилан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сэргийлэх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талаарх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харгалзан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420A420D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харьяалах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зөвшөөрсөн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тохиолдолд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шилжүүлэгч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7.11-д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шилжүүлэгч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гаргуулан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1E94CB36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2.3-т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чиглэл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хугацаа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4D448BF7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Шилжүүлэгч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сүргийг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гоц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өвчнөөс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урьдчилан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сэргийлэх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шимэгчтэх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өвчнөөс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эмчлэн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сэргийлэх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хамруулсан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59BA6928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Шилжүүлэгч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хүлээн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зохион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тавих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хамтарсан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хэсгийг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5F6108FC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Хамтарсан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хэсэг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явцад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гэрээгээр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хорогдсон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зэмийг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цуглуулж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устгах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бэлчээр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үерийн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жалга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булгийг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цэвэрлэх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хашаа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хороог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халдваргүйжүүлэх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28A28324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2.8.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2.7-д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хэрэгжүүлэхтэй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зардлыг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шилжүүлэгч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7D8DBC83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Гурав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нүүдлээс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хөдөлгөөнийг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зохицуулах</w:t>
      </w:r>
      <w:proofErr w:type="spellEnd"/>
    </w:p>
    <w:p w14:paraId="4185F5E2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Малчин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оршин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суугаа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газраасаа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суурьших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үзэсгэлэн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худалдаа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уралдаан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тэмцээнд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оролцох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эсхүл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үржлийн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хүнс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арилжаа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бэлэглэлийн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зориулалтаар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7.4-т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шаардлагыг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урьдчилан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4B36C886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 xml:space="preserve">3.2.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Үржлийн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худалдах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худалдан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авахтай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болохыг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нотолсон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0FB7AC53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3.2-т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гэрээт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нэгжийн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олгоно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145AB85B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өвчингүй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тайван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тусгаарласан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руу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хийхдээ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бүсэд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мөрдөхөөр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асуудал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захиргааны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баталсан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зааврыг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мөрдөнө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775F4A7B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аюулт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үзэгдлийн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улмаас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уруудсан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буцаан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тууварлахаас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өмнө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очсон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гэрээт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нэгж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үзлэг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1DB93F35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3.5-д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тодорхойлолтыг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тасгаас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олгосны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эсхүл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66BA84BB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3.7.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чанартай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дамжин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өнгөрдөг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үед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саатах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амраах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газар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байцаагчийн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саналыг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үндэслэн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нийтэд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1C82E7C8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Дөрөв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тээвэр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тууврын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замд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саатуулж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b/>
          <w:bCs/>
          <w:color w:val="333333"/>
          <w:sz w:val="18"/>
          <w:szCs w:val="18"/>
        </w:rPr>
        <w:br/>
      </w:r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      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хорио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цээрийн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хяналтад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авах</w:t>
      </w:r>
      <w:proofErr w:type="spellEnd"/>
    </w:p>
    <w:p w14:paraId="6502A212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байцаагч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7.6-д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зааснаас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гадна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дараахь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тохиолдолд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саатуулж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хорио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цээрийн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14:paraId="31107225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4.1.1.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хүчинтэй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хугацаа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дууссан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5EF7B49B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хэрэгсэл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солигдсон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5FD87CDE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төрөл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зүс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ялган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тэмдэглэгээ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цахим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бүртгэлийн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мэдээллээс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зөрүүтэй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0F3B3355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4.1.4.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хүчинтэй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хугацаанд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br/>
      </w:r>
      <w:proofErr w:type="spellStart"/>
      <w:r>
        <w:rPr>
          <w:rFonts w:ascii="Arial" w:hAnsi="Arial" w:cs="Arial"/>
          <w:color w:val="333333"/>
          <w:sz w:val="18"/>
          <w:szCs w:val="18"/>
        </w:rPr>
        <w:t>үүсэл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шинээр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оношлогдсон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6D2CFFD2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 4.1.5.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гэрчилгээнд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бичигдсэн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дамжин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өнгөрөх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чиглэлийг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зөрчсөн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дамжин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өнгөрөх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бүртгэл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тэмдэглэгээ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хийгдээгүй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ороогүй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725F011D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 4.1.6.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голомт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илэрсэн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хэрэгсэл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дамжин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өнгөрсөн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ирүүлсэн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41BAB00B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замд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саатуулсан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тохиолдолд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байцаагч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7.7-д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32006F3D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4.2-т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хэмжээг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хэрэгжүүлэхэд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шаардагдах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зардлыг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7.8-д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унаж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эдэлж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55B83773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хяналтын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байцаагч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хөдөлгөөнөөс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шалтгаалан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хөнөөл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түүнээс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сэргийлэх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ухуулга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сурталчилгаа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мэдээллээр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хангах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ажлыг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хэрэгжүүлнэ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17340AC6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lastRenderedPageBreak/>
        <w:t>Тав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Иргэн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этгээдийн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үүрэг</w:t>
      </w:r>
      <w:proofErr w:type="spellEnd"/>
    </w:p>
    <w:p w14:paraId="428E1928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эрүүл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мэндийн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7.4-т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зааснаас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гадна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дараахь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үүрэг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хүлээнэ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:</w:t>
      </w:r>
    </w:p>
    <w:p w14:paraId="6067FB75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                5.1.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1.тогтоосон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чиглэлийн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10268EE0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хүлээн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авагч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даргаас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өгсөн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 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дэвсгэрт</w:t>
      </w:r>
      <w:proofErr w:type="spellEnd"/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оторлох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3243D2E9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5.1.3.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тээвэрлэхдээ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зориулалтын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эсхүл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амьтанд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бэртэл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гэмтэл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учруулахгүй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байхаар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нэмж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тоноглосон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тээврийн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хэрэгслийг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ашиглах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өмнө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механик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цэвэрлэгээ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халдваргүйжүүлэлт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хийлгэх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6EFEFC93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5.1.4.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отор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нүүдэл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худалдах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арилжихаас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бусад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зорилгоор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тууварлаж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яваа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тухайн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дүүргийн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тасгийн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зөвшөөрөлгүйгээр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худалдаалах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солих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үлдээхгүй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472C7BA1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5.1.5.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үед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хорогдсон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зэмийг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зөвшөөрсөн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зааврын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устгах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108F9C71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5.1.6.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үед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өвчний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сэжиг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илэрсэн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тохиолдолд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засаг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захиргаа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эмнэлгийн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яаралтай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мэдээлэх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7071636E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5.1.7.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тээвэрлэх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тууварлах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талаар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байгууллагаас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баталсан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зааврыг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мөрдөх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;</w:t>
      </w:r>
    </w:p>
    <w:p w14:paraId="49005EA2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                 5.1.8.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улсын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чанартай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авто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зам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дамжин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өнгөрдөг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аймаг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сумын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нутаг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дэвсгэрээр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бол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тогтоосон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цэгт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саатах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түр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амраах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2E3B4771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5.2.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Иргэн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мал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амьтны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шилжилт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хөдөлгөөн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хийхтэй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холбоотой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санал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гомдлоо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бүхий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байгууллагад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гаргах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эрхтэй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333084AE" w14:textId="77777777" w:rsidR="00456D26" w:rsidRDefault="00456D26" w:rsidP="00456D26">
      <w:pPr>
        <w:pStyle w:val="NormalWeb"/>
        <w:shd w:val="clear" w:color="auto" w:fill="FFFFFF"/>
        <w:spacing w:before="0" w:beforeAutospacing="0" w:after="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Зургаа</w:t>
      </w:r>
      <w:proofErr w:type="spellEnd"/>
      <w:r>
        <w:rPr>
          <w:rStyle w:val="Strong"/>
          <w:rFonts w:ascii="Arial" w:hAnsi="Arial" w:cs="Arial"/>
          <w:color w:val="333333"/>
          <w:sz w:val="18"/>
          <w:szCs w:val="18"/>
        </w:rPr>
        <w:t xml:space="preserve">. </w:t>
      </w:r>
      <w:proofErr w:type="spellStart"/>
      <w:r>
        <w:rPr>
          <w:rStyle w:val="Strong"/>
          <w:rFonts w:ascii="Arial" w:hAnsi="Arial" w:cs="Arial"/>
          <w:color w:val="333333"/>
          <w:sz w:val="18"/>
          <w:szCs w:val="18"/>
        </w:rPr>
        <w:t>Хариуцлага</w:t>
      </w:r>
      <w:proofErr w:type="spellEnd"/>
    </w:p>
    <w:p w14:paraId="675EDDC0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6.1.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журмыг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зөрчсөн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этгээдэд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холбогдох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хуулийн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дагуу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хариуцлага</w:t>
      </w:r>
      <w:proofErr w:type="spellEnd"/>
      <w:r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хүлээлгэнэ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</w:t>
      </w:r>
    </w:p>
    <w:p w14:paraId="3D6E0716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14:paraId="4112A5E4" w14:textId="77777777" w:rsidR="00456D26" w:rsidRDefault="00456D26" w:rsidP="00456D26">
      <w:pPr>
        <w:pStyle w:val="NormalWeb"/>
        <w:shd w:val="clear" w:color="auto" w:fill="FFFFFF"/>
        <w:spacing w:before="0" w:beforeAutospacing="0" w:after="150" w:afterAutospacing="0" w:line="270" w:lineRule="atLeast"/>
        <w:jc w:val="center"/>
        <w:textAlignment w:val="top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------o0o------</w:t>
      </w:r>
    </w:p>
    <w:p w14:paraId="0BE989D7" w14:textId="5BE3EF04" w:rsidR="00456D26" w:rsidRPr="00456D26" w:rsidRDefault="00456D26" w:rsidP="00456D26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Засгийн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>  2019</w:t>
      </w:r>
      <w:proofErr w:type="gram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оны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43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дугаа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val="mn-MN"/>
        </w:rPr>
        <w:t>р</w:t>
      </w:r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тогтоолын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3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дугаар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хавсралт</w:t>
      </w:r>
      <w:proofErr w:type="spellEnd"/>
    </w:p>
    <w:p w14:paraId="1959C0B2" w14:textId="77777777" w:rsidR="00456D26" w:rsidRPr="00456D26" w:rsidRDefault="00456D26" w:rsidP="00456D26">
      <w:pPr>
        <w:shd w:val="clear" w:color="auto" w:fill="FFFFFF"/>
        <w:spacing w:after="15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234219FF" w14:textId="77777777" w:rsidR="00456D26" w:rsidRPr="00456D26" w:rsidRDefault="00456D26" w:rsidP="00456D2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b/>
          <w:bCs/>
          <w:color w:val="333333"/>
          <w:sz w:val="18"/>
          <w:szCs w:val="18"/>
        </w:rPr>
        <w:t>МАХ БЭЛТГЭЛИЙН ЗОРИЛГООР АЙМАГ ДАМЖИЖ МАЛ ТУУХ ТУУВРЫН ЗАМЫН ЧИГЛЭЛ</w:t>
      </w:r>
    </w:p>
    <w:p w14:paraId="39EC215B" w14:textId="77777777" w:rsidR="00456D26" w:rsidRPr="00456D26" w:rsidRDefault="00456D26" w:rsidP="00456D26">
      <w:pPr>
        <w:shd w:val="clear" w:color="auto" w:fill="FFFFFF"/>
        <w:spacing w:after="15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pPr w:leftFromText="45" w:rightFromText="45" w:vertAnchor="text"/>
        <w:tblW w:w="100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2227"/>
        <w:gridCol w:w="4209"/>
        <w:gridCol w:w="3264"/>
      </w:tblGrid>
      <w:tr w:rsidR="00456D26" w:rsidRPr="00456D26" w14:paraId="4D73DF18" w14:textId="77777777" w:rsidTr="00456D26">
        <w:trPr>
          <w:trHeight w:val="842"/>
        </w:trPr>
        <w:tc>
          <w:tcPr>
            <w:tcW w:w="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2C8721B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ECE4BAD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Тээвэр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туувар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хийх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замын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чиглэл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3A0BD4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Хяналтад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нь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заавал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хамрагдах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байнгын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улсын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мал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CE4B801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Хяналтад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нь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хамрагдах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орон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нутгийн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3EBFC26E" w14:textId="77777777" w:rsidTr="00456D26">
        <w:trPr>
          <w:trHeight w:val="15"/>
        </w:trPr>
        <w:tc>
          <w:tcPr>
            <w:tcW w:w="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14288A9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81BFA5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Баян-Өлгий-Ховд-Говь-Алтай-Нийслэлийн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CA1E759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Нарийнтээл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Таацын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голын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хөтөл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3502F8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Говь-Алтай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Баянхонгор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03C3FDA8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92C3BC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6BF1F7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Баян-Өлгий-Увс-Завхан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Тосонцэнгэл-Архангай-Нийслэлийн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22E756F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Цахир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Солонготын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давааны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хөтөл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B5C01F6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Ховд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Увс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Завхан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6982F6B2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E6CDDB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1740A67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Хөвсгөл-Булган-Орхон-Дархан-Уул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BBFBB9A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Хутаг-Өндөр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Гуртын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</w:t>
            </w:r>
            <w:proofErr w:type="spellEnd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 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Баруунтуруун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58CE6E6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Орхон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1774396B" w14:textId="77777777" w:rsidTr="00456D26">
        <w:trPr>
          <w:trHeight w:val="15"/>
        </w:trPr>
        <w:tc>
          <w:tcPr>
            <w:tcW w:w="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03EEF24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69282B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Хөвсгөл-Булган-Нийслэлийн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236EFA3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Хутаг-Өндөр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Гуртын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хөтөл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дэх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093F6EA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469C1166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CB7025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79A3712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23FA280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хөтөл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E49F72C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635C0A59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545BA8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B4D218E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90D4995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Цахир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Солонготын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давааны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хөтөл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CCC2DA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4B82D1F2" w14:textId="77777777" w:rsidTr="00456D26">
        <w:trPr>
          <w:trHeight w:val="119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05DA90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49EA52C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Булган-Орхон-Дархан-Уул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533612E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Баруунтуруун</w:t>
            </w:r>
            <w:proofErr w:type="spellEnd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”,  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</w:t>
            </w:r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F23CD2B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Орхон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16FB348F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BD1D55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1B3FB7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Булган-</w:t>
            </w:r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E681072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Лүн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хөтөл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94BAB65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3371EC1E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E1C16E2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6A6BA23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Сэлэнгэ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53FA8FB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Сонгинохайрхан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Баруунтуруун</w:t>
            </w:r>
            <w:proofErr w:type="spellEnd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   </w:t>
            </w:r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  <w:p w14:paraId="06427DFA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FE79CAA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Сэлэнгэ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40BBFDFA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7C03E1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4ADA56F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Өмнөговь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 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4B04CDE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Өлзийт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хорооллын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”,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A81CDAB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Өмнөговь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Дундговь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 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7DB4F5FD" w14:textId="77777777" w:rsidTr="00456D26">
        <w:trPr>
          <w:trHeight w:val="1175"/>
        </w:trPr>
        <w:tc>
          <w:tcPr>
            <w:tcW w:w="34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70B2608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1BEBBF3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Дорнод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D3D3837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Багануур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Хэрлэнгийн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50A24EC7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Дорнод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Хэнтий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6FE58FB6" w14:textId="77777777" w:rsidTr="00456D26">
        <w:trPr>
          <w:trHeight w:val="1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DF8FA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4555149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Замын-Үүд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-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чиглэлийн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болон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зам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дагуу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 </w:t>
            </w:r>
          </w:p>
        </w:tc>
        <w:tc>
          <w:tcPr>
            <w:tcW w:w="4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81C156A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“14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дүгээр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зөрлөг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”/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Багахангай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хойд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/,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Налайх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“4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дүгээр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зөрлөг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Өлзийт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хорооллын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”, “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Тавантолгойн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гүүрний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уулзвар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”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дахь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  <w:tc>
          <w:tcPr>
            <w:tcW w:w="3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86E70AD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Дорноговь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Говьсүмбэр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 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ажиллагаатай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</w:tbl>
    <w:p w14:paraId="54C7246A" w14:textId="77777777" w:rsidR="00456D26" w:rsidRPr="00456D26" w:rsidRDefault="00456D26" w:rsidP="00456D2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76CCD48A" w14:textId="77777777" w:rsidR="00456D26" w:rsidRPr="00456D26" w:rsidRDefault="00456D26" w:rsidP="00456D26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Жич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: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Нийслэл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рүү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нэвтрэхээс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бусад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тохиолдолд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тухайн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дамжин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өнгөрөх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аймгийн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Засаг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даргын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шийдвэрээр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тогтоосон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замын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чиглэлийг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баримтлана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49285F2B" w14:textId="7A5B6838" w:rsidR="00456D26" w:rsidRPr="00456D26" w:rsidRDefault="00456D26" w:rsidP="00456D26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Засгийн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proofErr w:type="gram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газрын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>  2019</w:t>
      </w:r>
      <w:proofErr w:type="gram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оны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43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дугаар</w:t>
      </w:r>
      <w:proofErr w:type="spellEnd"/>
      <w:r>
        <w:rPr>
          <w:rFonts w:ascii="Arial" w:eastAsia="Times New Roman" w:hAnsi="Arial" w:cs="Arial"/>
          <w:color w:val="333333"/>
          <w:sz w:val="18"/>
          <w:szCs w:val="18"/>
          <w:lang w:val="mn-MN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тогтоолын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2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дугаар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хавсралт</w:t>
      </w:r>
      <w:proofErr w:type="spellEnd"/>
    </w:p>
    <w:p w14:paraId="2CD7CC37" w14:textId="77777777" w:rsidR="00456D26" w:rsidRPr="00456D26" w:rsidRDefault="00456D26" w:rsidP="00456D26">
      <w:pPr>
        <w:shd w:val="clear" w:color="auto" w:fill="FFFFFF"/>
        <w:spacing w:after="15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6DC21A6B" w14:textId="77777777" w:rsidR="00456D26" w:rsidRPr="00456D26" w:rsidRDefault="00456D26" w:rsidP="00456D26">
      <w:pPr>
        <w:shd w:val="clear" w:color="auto" w:fill="FFFFFF"/>
        <w:spacing w:after="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b/>
          <w:bCs/>
          <w:color w:val="333333"/>
          <w:sz w:val="18"/>
          <w:szCs w:val="18"/>
        </w:rPr>
        <w:t>ОТОР, НҮҮДЛИЙН ЗОРИЛГООР АЙМАГ ДАМЖИЖ МАЛ ТУУХ ТУУВРЫН ЗАМЫН ЧИГЛЭЛ</w:t>
      </w:r>
    </w:p>
    <w:p w14:paraId="4A7C5CCD" w14:textId="77777777" w:rsidR="00456D26" w:rsidRPr="00456D26" w:rsidRDefault="00456D26" w:rsidP="00456D26">
      <w:pPr>
        <w:shd w:val="clear" w:color="auto" w:fill="FFFFFF"/>
        <w:spacing w:after="150" w:line="270" w:lineRule="atLeast"/>
        <w:jc w:val="center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96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"/>
        <w:gridCol w:w="1820"/>
        <w:gridCol w:w="1121"/>
        <w:gridCol w:w="3836"/>
        <w:gridCol w:w="2597"/>
      </w:tblGrid>
      <w:tr w:rsidR="00456D26" w:rsidRPr="00456D26" w14:paraId="3680819C" w14:textId="77777777" w:rsidTr="00456D26">
        <w:trPr>
          <w:trHeight w:val="15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010DE6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№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37EF9D5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Бүсчлэл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4352F2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Отор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нүүдлээр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ирэх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чиглэл</w:t>
            </w:r>
            <w:proofErr w:type="spellEnd"/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D1DD57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Нэвтрэхгүй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байх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зурвас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сум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дүүрэг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C251AC2" w14:textId="77777777" w:rsidR="00456D26" w:rsidRPr="00456D26" w:rsidRDefault="00456D26" w:rsidP="00456D26">
            <w:pPr>
              <w:spacing w:after="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тасаг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2E553EE1" w14:textId="77777777" w:rsidTr="00456D26">
        <w:trPr>
          <w:trHeight w:val="15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AF8FE55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D41F9B7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БАРУУН БҮС:</w:t>
            </w:r>
          </w:p>
          <w:p w14:paraId="2715BE9E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Баян-Өлгий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Ховд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Увс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Говь-Алтай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Завхан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Баянхонгор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нутаг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дэвсгэр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83E84C6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бүсээс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баруун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бүсэд</w:t>
            </w:r>
            <w:proofErr w:type="spellEnd"/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785D72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Тариалан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Рашаант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Их-Уул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Тосонцэнгэл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Төмөрбулаг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Галт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Жаргалант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Завхан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Их-Уул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Тосонцэнгэл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Отгон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Баянхонгор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Гурванбулаг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Байдраг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Галуут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Эрдэнэцогт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Өлзийт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Жинст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Богд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Баянлиг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Шинэжинст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1A5BD1F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Сумдын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тухайн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3630400E" w14:textId="77777777" w:rsidTr="00456D26">
        <w:trPr>
          <w:trHeight w:val="1267"/>
        </w:trPr>
        <w:tc>
          <w:tcPr>
            <w:tcW w:w="3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75A17CE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2.</w:t>
            </w:r>
          </w:p>
        </w:tc>
        <w:tc>
          <w:tcPr>
            <w:tcW w:w="18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764FFA0C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ТӨВИЙН БҮС:</w:t>
            </w:r>
          </w:p>
          <w:p w14:paraId="753891BF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Булган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Орхон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proofErr w:type="gram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Сэлэнгэ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,   </w:t>
            </w:r>
            <w:proofErr w:type="gram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Дархан-Уул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Өвөрхангай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Дундговь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Өмнөговь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нутаг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дэвсгэр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63C421A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Зүүн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бүсээс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бүсэд</w:t>
            </w:r>
            <w:proofErr w:type="spellEnd"/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0C0A0B6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Мөнгөнморьт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Баяндэлгэр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Архуст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Баянжаргалан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Багануур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дүүрэг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Дундговь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Цагаандэлгэр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Баянжаргалан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Өндөршил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Өмнөговь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Манлай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Ханбогд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8E2219D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Сумдын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тухайн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31418598" w14:textId="77777777" w:rsidTr="00456D26">
        <w:trPr>
          <w:trHeight w:val="11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161F84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C40145" w14:textId="77777777" w:rsidR="00456D26" w:rsidRPr="00456D26" w:rsidRDefault="00456D26" w:rsidP="00456D2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6D716059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Баруун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бүсээс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бүсэд</w:t>
            </w:r>
            <w:proofErr w:type="spellEnd"/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18A1D96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Хөвсгөл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Тариалан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Рашаант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Их-Уул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Тосонцэнгэл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Төмөрбулаг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Галт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Жаргалант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Завхан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Их-Уул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Тосонцэнгэл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Отгон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Баянхонгор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Гурванбулаг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Байдраг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Галуут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Эрдэнэцогт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Өлзийт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Жинст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Богд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Баянлиг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Шинэжинст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A9DC2A9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Сумдын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тухайн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  <w:tr w:rsidR="00456D26" w:rsidRPr="00456D26" w14:paraId="6727852D" w14:textId="77777777" w:rsidTr="00456D26">
        <w:trPr>
          <w:trHeight w:val="1468"/>
        </w:trPr>
        <w:tc>
          <w:tcPr>
            <w:tcW w:w="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39AED489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3.</w:t>
            </w:r>
          </w:p>
        </w:tc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031C6E14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ЗҮҮН БҮС:</w:t>
            </w:r>
          </w:p>
          <w:p w14:paraId="74B7B4BA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Дорнод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Сүхбаатар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Хэнтий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Говьсүмбэр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Дорноговь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нутаг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дэвсгэр</w:t>
            </w:r>
            <w:proofErr w:type="spellEnd"/>
          </w:p>
        </w:tc>
        <w:tc>
          <w:tcPr>
            <w:tcW w:w="11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469D3E01" w14:textId="77777777" w:rsidR="00456D26" w:rsidRPr="00456D26" w:rsidRDefault="00456D26" w:rsidP="00456D26">
            <w:pPr>
              <w:spacing w:after="150" w:line="270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бүсээс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зүүн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бүсэд</w:t>
            </w:r>
            <w:proofErr w:type="spellEnd"/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196095A4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Төв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Мөнгөнморьт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Баяндэлгэр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Архуст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Баянжаргалан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Багануур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дүүрэг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Дундговь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Цагаандэлгэр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Баянжаргалан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Өндөршил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;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Өмнөговь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Манлай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Ханбогд</w:t>
            </w:r>
            <w:proofErr w:type="spellEnd"/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14:paraId="29596FEC" w14:textId="77777777" w:rsidR="00456D26" w:rsidRPr="00456D26" w:rsidRDefault="00456D26" w:rsidP="00456D26">
            <w:pPr>
              <w:spacing w:after="150" w:line="270" w:lineRule="atLeast"/>
              <w:textAlignment w:val="top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Сумдын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тухайн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аймаг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,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нийслэлийн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Засаг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даргын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шийдвэрээр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байгуулсан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мал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эмнэлгийн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хяналтын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түр</w:t>
            </w:r>
            <w:proofErr w:type="spellEnd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 xml:space="preserve"> </w:t>
            </w:r>
            <w:proofErr w:type="spellStart"/>
            <w:r w:rsidRPr="00456D26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цэг</w:t>
            </w:r>
            <w:proofErr w:type="spellEnd"/>
          </w:p>
        </w:tc>
      </w:tr>
    </w:tbl>
    <w:p w14:paraId="722D0462" w14:textId="77777777" w:rsidR="00456D26" w:rsidRPr="00456D26" w:rsidRDefault="00456D26" w:rsidP="00456D26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440E192A" w14:textId="77777777" w:rsidR="00456D26" w:rsidRPr="00456D26" w:rsidRDefault="00456D26" w:rsidP="00456D26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Дээрх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тогтоосон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хязгаар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давахгүйгээр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отор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нүүдэл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хийсэн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тохиолдолд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очсон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сумын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хөдөө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аж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ахуйн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тасагт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бүртгүүлж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мал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эмнэлгийн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тасгийн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хяналтанд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орсон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456D26">
        <w:rPr>
          <w:rFonts w:ascii="Arial" w:eastAsia="Times New Roman" w:hAnsi="Arial" w:cs="Arial"/>
          <w:color w:val="333333"/>
          <w:sz w:val="18"/>
          <w:szCs w:val="18"/>
        </w:rPr>
        <w:t>байна</w:t>
      </w:r>
      <w:proofErr w:type="spellEnd"/>
      <w:r w:rsidRPr="00456D26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14:paraId="6BE839F2" w14:textId="77777777" w:rsidR="00456D26" w:rsidRPr="00456D26" w:rsidRDefault="00456D26" w:rsidP="00456D26">
      <w:pPr>
        <w:shd w:val="clear" w:color="auto" w:fill="FFFFFF"/>
        <w:spacing w:after="150" w:line="270" w:lineRule="atLeast"/>
        <w:jc w:val="righ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4703E303" w14:textId="77777777" w:rsidR="00456D26" w:rsidRPr="00456D26" w:rsidRDefault="00456D26" w:rsidP="00456D26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color w:val="333333"/>
          <w:sz w:val="18"/>
          <w:szCs w:val="18"/>
        </w:rPr>
      </w:pPr>
      <w:r w:rsidRPr="00456D26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14:paraId="5533776C" w14:textId="77777777" w:rsidR="00AC08AC" w:rsidRDefault="00AC08AC"/>
    <w:sectPr w:rsidR="00AC0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37"/>
    <w:rsid w:val="00456D26"/>
    <w:rsid w:val="00787037"/>
    <w:rsid w:val="00A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8CBB8"/>
  <w15:chartTrackingRefBased/>
  <w15:docId w15:val="{BE8CCE2D-02CD-42F2-B5C7-5E383EA1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6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2139</Words>
  <Characters>12194</Characters>
  <Application>Microsoft Office Word</Application>
  <DocSecurity>0</DocSecurity>
  <Lines>101</Lines>
  <Paragraphs>28</Paragraphs>
  <ScaleCrop>false</ScaleCrop>
  <Company/>
  <LinksUpToDate>false</LinksUpToDate>
  <CharactersWithSpaces>14305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FIFA</dc:creator>
  <cp:keywords/>
  <dc:description/>
  <cp:lastModifiedBy>FIFA</cp:lastModifiedBy>
  <cp:revision>2</cp:revision>
  <dcterms:created xsi:type="dcterms:W3CDTF">2020-09-03T10:04:00Z</dcterms:created>
  <dcterms:modified xsi:type="dcterms:W3CDTF">2020-09-03T10:04:00Z</dcterms:modified>
</cp:coreProperties>
</file>